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CFB12" w14:textId="77777777" w:rsidR="001B1E04" w:rsidRPr="00702AD5" w:rsidRDefault="009269EF" w:rsidP="001B1E04">
      <w:pPr>
        <w:pStyle w:val="3GPPHeader"/>
        <w:spacing w:after="60"/>
      </w:pPr>
      <w:bookmarkStart w:id="0" w:name="OLE_LINK1"/>
      <w:bookmarkStart w:id="1" w:name="OLE_LINK2"/>
      <w:r w:rsidRPr="009269EF">
        <w:t>3GPP TSG-RAN WG4 Meeting #</w:t>
      </w:r>
      <w:r w:rsidRPr="009269EF">
        <w:rPr>
          <w:rFonts w:hint="eastAsia"/>
        </w:rPr>
        <w:t>8</w:t>
      </w:r>
      <w:r w:rsidRPr="009269EF">
        <w:t>9</w:t>
      </w:r>
      <w:r w:rsidR="001B1E04" w:rsidRPr="00A01D0E">
        <w:tab/>
      </w:r>
      <w:r w:rsidR="004E0E7A">
        <w:t xml:space="preserve">   </w:t>
      </w:r>
      <w:r w:rsidR="00047A44">
        <w:t xml:space="preserve">                    </w:t>
      </w:r>
      <w:r w:rsidR="00762E4A" w:rsidRPr="00762E4A">
        <w:t>R4-1814655</w:t>
      </w:r>
    </w:p>
    <w:p w14:paraId="75C8EFC0" w14:textId="77777777" w:rsidR="00616831" w:rsidRPr="00702AD5" w:rsidRDefault="00702AD5" w:rsidP="00702AD5">
      <w:pPr>
        <w:pStyle w:val="3GPPHeader"/>
        <w:spacing w:after="60"/>
      </w:pPr>
      <w:r w:rsidRPr="00702AD5">
        <w:t>Spokane, WA, USA, 12-16 November 2018</w:t>
      </w:r>
    </w:p>
    <w:p w14:paraId="38A28FA9" w14:textId="77777777" w:rsidR="00875E94" w:rsidRDefault="00875E94" w:rsidP="00700F24">
      <w:pPr>
        <w:pStyle w:val="TdocHeader2"/>
        <w:pBdr>
          <w:bottom w:val="single" w:sz="6" w:space="1" w:color="auto"/>
        </w:pBdr>
        <w:spacing w:after="120"/>
        <w:rPr>
          <w:sz w:val="24"/>
        </w:rPr>
      </w:pPr>
    </w:p>
    <w:p w14:paraId="4F6E2A6C" w14:textId="77777777"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505E5DE1" w14:textId="77777777"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762E4A" w:rsidRPr="00762E4A">
        <w:rPr>
          <w:sz w:val="24"/>
        </w:rPr>
        <w:t>On wideband carrier operation for NR-U</w:t>
      </w:r>
    </w:p>
    <w:p w14:paraId="4F44691D" w14:textId="77777777" w:rsidR="00D52BF3" w:rsidRPr="00B208AD" w:rsidRDefault="00D52BF3" w:rsidP="00700F24">
      <w:pPr>
        <w:pStyle w:val="TdocHeader2"/>
        <w:spacing w:after="120"/>
        <w:rPr>
          <w:sz w:val="24"/>
        </w:rPr>
      </w:pPr>
      <w:r w:rsidRPr="00B208AD">
        <w:rPr>
          <w:sz w:val="24"/>
        </w:rPr>
        <w:t>Agenda Item:</w:t>
      </w:r>
      <w:r w:rsidRPr="00B208AD">
        <w:rPr>
          <w:sz w:val="24"/>
        </w:rPr>
        <w:tab/>
      </w:r>
      <w:r w:rsidR="00762E4A" w:rsidRPr="00762E4A">
        <w:rPr>
          <w:sz w:val="24"/>
        </w:rPr>
        <w:t>10.2</w:t>
      </w:r>
    </w:p>
    <w:p w14:paraId="0E81585A"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13272DDE" w14:textId="77777777" w:rsidR="001D7377" w:rsidRDefault="001D7377" w:rsidP="001D7377">
      <w:pPr>
        <w:pStyle w:val="Heading1"/>
      </w:pPr>
      <w:r w:rsidRPr="00183CB7">
        <w:t>Introduction</w:t>
      </w:r>
    </w:p>
    <w:p w14:paraId="611767D3" w14:textId="7AED50C4" w:rsidR="00EC0DB5" w:rsidRDefault="00DB6BB5" w:rsidP="00B71D00">
      <w:pPr>
        <w:jc w:val="both"/>
        <w:rPr>
          <w:lang w:val="en-GB"/>
        </w:rPr>
      </w:pPr>
      <w:r>
        <w:rPr>
          <w:lang w:val="en-GB"/>
        </w:rPr>
        <w:t xml:space="preserve">At the last RAN1 </w:t>
      </w:r>
      <w:r w:rsidRPr="00DB6BB5">
        <w:rPr>
          <w:lang w:val="en-GB"/>
        </w:rPr>
        <w:t>#94bis</w:t>
      </w:r>
      <w:r>
        <w:rPr>
          <w:lang w:val="en-GB"/>
        </w:rPr>
        <w:t xml:space="preserve"> meeting, RAN1 discussed wide</w:t>
      </w:r>
      <w:r w:rsidR="006F6AD0">
        <w:rPr>
          <w:lang w:val="en-GB"/>
        </w:rPr>
        <w:t>band</w:t>
      </w:r>
      <w:r>
        <w:rPr>
          <w:lang w:val="en-GB"/>
        </w:rPr>
        <w:t xml:space="preserve"> operation of NR-U whereby wideband implies a carrier bandwidth of larger than 20MHz. </w:t>
      </w:r>
      <w:r w:rsidR="00EC0DB5">
        <w:rPr>
          <w:lang w:val="en-GB"/>
        </w:rPr>
        <w:t>While wideband operation of NR is readily specified in Rel. 15, the novelty in NR-U is that Listen-Before-Talk, i.e., the channel access mechanism of NR when operated in unlicensed spectrum, relies on “LBT subbands” of granularity 20MHz. The channel access procedure thus subdivi</w:t>
      </w:r>
      <w:r w:rsidR="00A84047">
        <w:rPr>
          <w:lang w:val="en-GB"/>
        </w:rPr>
        <w:t>des the bandwidth on which NR-U</w:t>
      </w:r>
      <w:r w:rsidR="00EC0DB5">
        <w:rPr>
          <w:lang w:val="en-GB"/>
        </w:rPr>
        <w:t xml:space="preserve"> DL and UL transmissions occur into chunks of 20MHz, e.g., when the NR carrier in unlicensed spectrum is 40 or 80 MHz wide. When the NR-U UE performs energy detection as part of the </w:t>
      </w:r>
      <w:r w:rsidR="00C85FB2">
        <w:rPr>
          <w:lang w:val="en-GB"/>
        </w:rPr>
        <w:t>-</w:t>
      </w:r>
      <w:r w:rsidR="00C85FB2">
        <w:rPr>
          <w:lang w:val="en-GB"/>
        </w:rPr>
        <w:t xml:space="preserve"> </w:t>
      </w:r>
      <w:r w:rsidR="00EC0DB5">
        <w:rPr>
          <w:lang w:val="en-GB"/>
        </w:rPr>
        <w:t>channel access mechanism, it does so per 20 MHz LBT subband. Consequently, the channel is assessed as clear or busy per 20 MHz chunk. From a RAN1 perspective, this simply means that resource allocation should also be performed at least with 20 MHz granularity as a NR-U</w:t>
      </w:r>
      <w:r w:rsidR="00A84047">
        <w:rPr>
          <w:lang w:val="en-GB"/>
        </w:rPr>
        <w:t xml:space="preserve"> UE</w:t>
      </w:r>
      <w:r w:rsidR="00EC0DB5">
        <w:rPr>
          <w:lang w:val="en-GB"/>
        </w:rPr>
        <w:t xml:space="preserve"> can only be scheduled for transmissions on LBT subbands that are considered idle.</w:t>
      </w:r>
    </w:p>
    <w:p w14:paraId="59F7031C" w14:textId="7D406F08" w:rsidR="00EC0DB5" w:rsidRDefault="00EC0DB5" w:rsidP="00B71D00">
      <w:pPr>
        <w:jc w:val="both"/>
        <w:rPr>
          <w:lang w:val="en-GB"/>
        </w:rPr>
      </w:pPr>
      <w:r>
        <w:rPr>
          <w:lang w:val="en-GB"/>
        </w:rPr>
        <w:t xml:space="preserve">However, RAN1 identified several other issues pertaining to blockage and leakage of energy in the RF domain. These lie in the domain of RAN4 expertise. Hence, RAN1 sent the liaison statement in </w:t>
      </w:r>
      <w:r>
        <w:rPr>
          <w:lang w:val="en-GB"/>
        </w:rPr>
        <w:fldChar w:fldCharType="begin"/>
      </w:r>
      <w:r>
        <w:rPr>
          <w:lang w:val="en-GB"/>
        </w:rPr>
        <w:instrText xml:space="preserve"> REF _Ref528933407 \r \h  \* MERGEFORMAT </w:instrText>
      </w:r>
      <w:r>
        <w:rPr>
          <w:lang w:val="en-GB"/>
        </w:rPr>
      </w:r>
      <w:r>
        <w:rPr>
          <w:lang w:val="en-GB"/>
        </w:rPr>
        <w:fldChar w:fldCharType="separate"/>
      </w:r>
      <w:r w:rsidR="006F6AD0">
        <w:rPr>
          <w:lang w:val="en-GB"/>
        </w:rPr>
        <w:t>[1]</w:t>
      </w:r>
      <w:r>
        <w:rPr>
          <w:lang w:val="en-GB"/>
        </w:rPr>
        <w:fldChar w:fldCharType="end"/>
      </w:r>
      <w:r>
        <w:rPr>
          <w:lang w:val="en-GB"/>
        </w:rPr>
        <w:t xml:space="preserve"> to RAN4 in their last meeting. In this contribution, we provide further details on the motivation of the various options and give our preference on a possible solution. </w:t>
      </w:r>
    </w:p>
    <w:p w14:paraId="743F33DE" w14:textId="77777777" w:rsidR="006F1AB8" w:rsidRDefault="00831124" w:rsidP="0007233C">
      <w:pPr>
        <w:pStyle w:val="Heading1"/>
      </w:pPr>
      <w:r w:rsidRPr="00831124">
        <w:t>On wideband carrier operation for NR-U</w:t>
      </w:r>
    </w:p>
    <w:p w14:paraId="37B5BEAA" w14:textId="2BF0722E" w:rsidR="00607DA8" w:rsidRDefault="00E53395" w:rsidP="00047A44">
      <w:pPr>
        <w:jc w:val="both"/>
        <w:rPr>
          <w:szCs w:val="22"/>
        </w:rPr>
      </w:pPr>
      <w:r>
        <w:rPr>
          <w:lang w:val="en-GB"/>
        </w:rPr>
        <w:t>Listen-Before-Talk, the channel access mechanism of NR when operated in unlicensed spectrum, inherently divides any</w:t>
      </w:r>
      <w:r>
        <w:rPr>
          <w:szCs w:val="22"/>
        </w:rPr>
        <w:t xml:space="preserve"> carrier of bandwidth larger than 20 MHz into chunks of 20 MHz. </w:t>
      </w:r>
      <w:r w:rsidR="001E126D">
        <w:rPr>
          <w:szCs w:val="22"/>
        </w:rPr>
        <w:t xml:space="preserve">This is because energy detection is performed per 20 MHz LBT subband and consequently, each 20 MHz chunk of a wideband carrier is assessed separately whether it is considered idle or busy. </w:t>
      </w:r>
    </w:p>
    <w:p w14:paraId="526052B4" w14:textId="77777777" w:rsidR="001E126D" w:rsidRDefault="001E126D" w:rsidP="00047A44">
      <w:pPr>
        <w:jc w:val="both"/>
        <w:rPr>
          <w:szCs w:val="22"/>
        </w:rPr>
      </w:pPr>
      <w:r>
        <w:rPr>
          <w:szCs w:val="22"/>
        </w:rPr>
        <w:t xml:space="preserve">While NR in Release 15 specified efficient mechanisms to operate UEs of various RF bandwidths in a single wideband carrier, </w:t>
      </w:r>
      <w:r w:rsidR="002D1821">
        <w:rPr>
          <w:szCs w:val="22"/>
        </w:rPr>
        <w:t xml:space="preserve">RF requirements such as out-of-band emission masks are only defined for carriers, not for bandwidth parts. In NR-U, however, because of the discrepancy between carrier bandwidths and LBT bandwidths, a need for RF requirements </w:t>
      </w:r>
      <w:r w:rsidR="002D1821" w:rsidRPr="002D1821">
        <w:rPr>
          <w:i/>
          <w:szCs w:val="22"/>
        </w:rPr>
        <w:t>within</w:t>
      </w:r>
      <w:r w:rsidR="002D1821">
        <w:rPr>
          <w:szCs w:val="22"/>
        </w:rPr>
        <w:t xml:space="preserve"> a carrier arises. This is illustrated in </w:t>
      </w:r>
      <w:r w:rsidR="002D1821">
        <w:rPr>
          <w:szCs w:val="22"/>
        </w:rPr>
        <w:fldChar w:fldCharType="begin"/>
      </w:r>
      <w:r w:rsidR="002D1821">
        <w:rPr>
          <w:szCs w:val="22"/>
        </w:rPr>
        <w:instrText xml:space="preserve"> REF _Ref528933877 \h  \* MERGEFORMAT </w:instrText>
      </w:r>
      <w:r w:rsidR="002D1821">
        <w:rPr>
          <w:szCs w:val="22"/>
        </w:rPr>
      </w:r>
      <w:r w:rsidR="002D1821">
        <w:rPr>
          <w:szCs w:val="22"/>
        </w:rPr>
        <w:fldChar w:fldCharType="separate"/>
      </w:r>
      <w:r w:rsidR="006F6AD0" w:rsidRPr="006F6AD0">
        <w:rPr>
          <w:szCs w:val="22"/>
        </w:rPr>
        <w:t>Figure 1</w:t>
      </w:r>
      <w:r w:rsidR="002D1821">
        <w:rPr>
          <w:szCs w:val="22"/>
        </w:rPr>
        <w:fldChar w:fldCharType="end"/>
      </w:r>
      <w:r w:rsidR="002D1821">
        <w:rPr>
          <w:szCs w:val="22"/>
        </w:rPr>
        <w:t xml:space="preserve"> which RAN4 received from RAN1 is </w:t>
      </w:r>
      <w:r w:rsidR="002D1821">
        <w:rPr>
          <w:szCs w:val="22"/>
        </w:rPr>
        <w:fldChar w:fldCharType="begin"/>
      </w:r>
      <w:r w:rsidR="002D1821">
        <w:rPr>
          <w:szCs w:val="22"/>
        </w:rPr>
        <w:instrText xml:space="preserve"> REF _Ref528933407 \r \h  \* MERGEFORMAT </w:instrText>
      </w:r>
      <w:r w:rsidR="002D1821">
        <w:rPr>
          <w:szCs w:val="22"/>
        </w:rPr>
      </w:r>
      <w:r w:rsidR="002D1821">
        <w:rPr>
          <w:szCs w:val="22"/>
        </w:rPr>
        <w:fldChar w:fldCharType="separate"/>
      </w:r>
      <w:r w:rsidR="006F6AD0">
        <w:rPr>
          <w:szCs w:val="22"/>
        </w:rPr>
        <w:t>[1]</w:t>
      </w:r>
      <w:r w:rsidR="002D1821">
        <w:rPr>
          <w:szCs w:val="22"/>
        </w:rPr>
        <w:fldChar w:fldCharType="end"/>
      </w:r>
      <w:r w:rsidR="002D1821">
        <w:rPr>
          <w:szCs w:val="22"/>
        </w:rPr>
        <w:t xml:space="preserve">. </w:t>
      </w:r>
    </w:p>
    <w:p w14:paraId="5451A027" w14:textId="77777777" w:rsidR="002D1821" w:rsidRDefault="002D1821" w:rsidP="00047A44">
      <w:pPr>
        <w:jc w:val="both"/>
        <w:rPr>
          <w:szCs w:val="22"/>
        </w:rPr>
      </w:pPr>
      <w:r>
        <w:rPr>
          <w:szCs w:val="22"/>
        </w:rPr>
        <w:t xml:space="preserve">The exact same use case was also discussed in RAN1 during Rel. 15, e.g., in </w:t>
      </w:r>
      <w:r>
        <w:rPr>
          <w:szCs w:val="22"/>
        </w:rPr>
        <w:fldChar w:fldCharType="begin"/>
      </w:r>
      <w:r>
        <w:rPr>
          <w:szCs w:val="22"/>
        </w:rPr>
        <w:instrText xml:space="preserve"> REF _Ref528934071 \r \h </w:instrText>
      </w:r>
      <w:r>
        <w:rPr>
          <w:szCs w:val="22"/>
        </w:rPr>
      </w:r>
      <w:r>
        <w:rPr>
          <w:szCs w:val="22"/>
        </w:rPr>
        <w:fldChar w:fldCharType="separate"/>
      </w:r>
      <w:r w:rsidR="006F6AD0">
        <w:rPr>
          <w:szCs w:val="22"/>
        </w:rPr>
        <w:t>[2]</w:t>
      </w:r>
      <w:r>
        <w:rPr>
          <w:szCs w:val="22"/>
        </w:rPr>
        <w:fldChar w:fldCharType="end"/>
      </w:r>
      <w:r>
        <w:rPr>
          <w:szCs w:val="22"/>
        </w:rPr>
        <w:fldChar w:fldCharType="begin"/>
      </w:r>
      <w:r>
        <w:rPr>
          <w:szCs w:val="22"/>
        </w:rPr>
        <w:instrText xml:space="preserve"> REF _Ref528934073 \r \h </w:instrText>
      </w:r>
      <w:r>
        <w:rPr>
          <w:szCs w:val="22"/>
        </w:rPr>
      </w:r>
      <w:r>
        <w:rPr>
          <w:szCs w:val="22"/>
        </w:rPr>
        <w:fldChar w:fldCharType="separate"/>
      </w:r>
      <w:r w:rsidR="006F6AD0">
        <w:rPr>
          <w:szCs w:val="22"/>
        </w:rPr>
        <w:t>[3]</w:t>
      </w:r>
      <w:r>
        <w:rPr>
          <w:szCs w:val="22"/>
        </w:rPr>
        <w:fldChar w:fldCharType="end"/>
      </w:r>
      <w:r>
        <w:rPr>
          <w:szCs w:val="22"/>
        </w:rPr>
        <w:t xml:space="preserve">. RAN1 ultimately agreed to not support in Rel. 15 the use case illustrated in </w:t>
      </w:r>
      <w:r>
        <w:rPr>
          <w:szCs w:val="22"/>
        </w:rPr>
        <w:fldChar w:fldCharType="begin"/>
      </w:r>
      <w:r>
        <w:rPr>
          <w:szCs w:val="22"/>
        </w:rPr>
        <w:instrText xml:space="preserve"> REF _Ref528934152 \h  \* MERGEFORMAT </w:instrText>
      </w:r>
      <w:r>
        <w:rPr>
          <w:szCs w:val="22"/>
        </w:rPr>
      </w:r>
      <w:r>
        <w:rPr>
          <w:szCs w:val="22"/>
        </w:rPr>
        <w:fldChar w:fldCharType="separate"/>
      </w:r>
      <w:r w:rsidR="006F6AD0" w:rsidRPr="006F6AD0">
        <w:rPr>
          <w:szCs w:val="22"/>
        </w:rPr>
        <w:t>Figure 2</w:t>
      </w:r>
      <w:r>
        <w:rPr>
          <w:szCs w:val="22"/>
        </w:rPr>
        <w:fldChar w:fldCharType="end"/>
      </w:r>
      <w:r w:rsidR="00F350DB">
        <w:rPr>
          <w:szCs w:val="22"/>
        </w:rPr>
        <w:t xml:space="preserve"> in licensed spectrum</w:t>
      </w:r>
      <w:r>
        <w:rPr>
          <w:szCs w:val="22"/>
        </w:rPr>
        <w:t>.</w:t>
      </w:r>
      <w:r w:rsidR="00F350DB">
        <w:rPr>
          <w:szCs w:val="22"/>
        </w:rPr>
        <w:t xml:space="preserve"> Hence, Rel. 15 supports non-contiguous intra-band spectrum only by using the carrier aggregation framework. </w:t>
      </w:r>
    </w:p>
    <w:p w14:paraId="5A79CD0F" w14:textId="77777777" w:rsidR="00EF13A2" w:rsidRDefault="00EF13A2" w:rsidP="00047A44">
      <w:pPr>
        <w:jc w:val="both"/>
        <w:rPr>
          <w:szCs w:val="22"/>
        </w:rPr>
      </w:pPr>
      <w:r>
        <w:rPr>
          <w:szCs w:val="22"/>
        </w:rPr>
        <w:t xml:space="preserve">Carrier aggregation defines each subband as carrier whereby each carrier basically operates independently. In particular, RF filters can be defined per carrier and cells can be defined per carrier, namely, the serving cells. From a specification perspective, this can be considered efficient. However, from an implementation </w:t>
      </w:r>
      <w:r>
        <w:rPr>
          <w:szCs w:val="22"/>
        </w:rPr>
        <w:lastRenderedPageBreak/>
        <w:t xml:space="preserve">perspective, such a duplication is rather inefficient, especially in the context of non-contiguous intra-band spectrum.  </w:t>
      </w:r>
    </w:p>
    <w:p w14:paraId="0DBCB0F0" w14:textId="77777777" w:rsidR="00446E65" w:rsidRDefault="00446E65" w:rsidP="00446E65">
      <w:pPr>
        <w:keepNext/>
        <w:jc w:val="center"/>
      </w:pPr>
      <w:r>
        <w:rPr>
          <w:noProof/>
        </w:rPr>
        <w:drawing>
          <wp:inline distT="0" distB="0" distL="0" distR="0" wp14:anchorId="0D51FFDF" wp14:editId="1DD1C337">
            <wp:extent cx="4572000" cy="26243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624328"/>
                    </a:xfrm>
                    <a:prstGeom prst="rect">
                      <a:avLst/>
                    </a:prstGeom>
                    <a:noFill/>
                  </pic:spPr>
                </pic:pic>
              </a:graphicData>
            </a:graphic>
          </wp:inline>
        </w:drawing>
      </w:r>
    </w:p>
    <w:p w14:paraId="1ADC9DAA" w14:textId="77777777" w:rsidR="00446E65" w:rsidRDefault="00446E65" w:rsidP="00446E65">
      <w:pPr>
        <w:jc w:val="center"/>
        <w:rPr>
          <w:szCs w:val="22"/>
        </w:rPr>
      </w:pPr>
      <w:bookmarkStart w:id="3" w:name="_Ref528933877"/>
      <w:r w:rsidRPr="00446E65">
        <w:rPr>
          <w:b/>
          <w:szCs w:val="22"/>
        </w:rPr>
        <w:t xml:space="preserve">Figure </w:t>
      </w:r>
      <w:r w:rsidRPr="00446E65">
        <w:rPr>
          <w:b/>
          <w:szCs w:val="22"/>
        </w:rPr>
        <w:fldChar w:fldCharType="begin"/>
      </w:r>
      <w:r w:rsidRPr="00446E65">
        <w:rPr>
          <w:b/>
          <w:szCs w:val="22"/>
        </w:rPr>
        <w:instrText xml:space="preserve"> SEQ Figure \* ARABIC </w:instrText>
      </w:r>
      <w:r w:rsidRPr="00446E65">
        <w:rPr>
          <w:b/>
          <w:szCs w:val="22"/>
        </w:rPr>
        <w:fldChar w:fldCharType="separate"/>
      </w:r>
      <w:r w:rsidR="006F6AD0">
        <w:rPr>
          <w:b/>
          <w:noProof/>
          <w:szCs w:val="22"/>
        </w:rPr>
        <w:t>1</w:t>
      </w:r>
      <w:r w:rsidRPr="00446E65">
        <w:rPr>
          <w:b/>
          <w:szCs w:val="22"/>
        </w:rPr>
        <w:fldChar w:fldCharType="end"/>
      </w:r>
      <w:bookmarkEnd w:id="3"/>
      <w:r w:rsidRPr="00446E65">
        <w:rPr>
          <w:b/>
          <w:szCs w:val="22"/>
        </w:rPr>
        <w:t>:</w:t>
      </w:r>
      <w:r w:rsidRPr="00446E65">
        <w:rPr>
          <w:szCs w:val="22"/>
        </w:rPr>
        <w:t xml:space="preserve"> Wideband carrier operation for NR-U with LBT performed on a 20 MHz basis in each “LBT sub-band.” In this example, LBT fails in 1 out of 4 defined LBT sub-bands.</w:t>
      </w:r>
    </w:p>
    <w:p w14:paraId="1C993842" w14:textId="77777777" w:rsidR="00DE2CC1" w:rsidRDefault="00DE2CC1" w:rsidP="00047A44">
      <w:pPr>
        <w:jc w:val="both"/>
        <w:rPr>
          <w:szCs w:val="22"/>
        </w:rPr>
      </w:pPr>
    </w:p>
    <w:p w14:paraId="3D1009FA" w14:textId="77777777" w:rsidR="00446E65" w:rsidRDefault="00761A39" w:rsidP="00446E65">
      <w:pPr>
        <w:keepNext/>
        <w:jc w:val="both"/>
      </w:pPr>
      <w:r>
        <w:rPr>
          <w:noProof/>
        </w:rPr>
        <w:drawing>
          <wp:inline distT="0" distB="0" distL="0" distR="0" wp14:anchorId="133AC71C" wp14:editId="50F54481">
            <wp:extent cx="6332220" cy="14370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1437005"/>
                    </a:xfrm>
                    <a:prstGeom prst="rect">
                      <a:avLst/>
                    </a:prstGeom>
                  </pic:spPr>
                </pic:pic>
              </a:graphicData>
            </a:graphic>
          </wp:inline>
        </w:drawing>
      </w:r>
    </w:p>
    <w:p w14:paraId="2B5B9908" w14:textId="77777777" w:rsidR="00446E65" w:rsidRDefault="00446E65" w:rsidP="00446E65">
      <w:pPr>
        <w:jc w:val="center"/>
        <w:rPr>
          <w:szCs w:val="22"/>
        </w:rPr>
      </w:pPr>
      <w:bookmarkStart w:id="4" w:name="_Ref528934152"/>
      <w:r w:rsidRPr="00446E65">
        <w:rPr>
          <w:b/>
          <w:szCs w:val="22"/>
        </w:rPr>
        <w:t xml:space="preserve">Figure </w:t>
      </w:r>
      <w:r w:rsidRPr="00446E65">
        <w:rPr>
          <w:b/>
          <w:szCs w:val="22"/>
        </w:rPr>
        <w:fldChar w:fldCharType="begin"/>
      </w:r>
      <w:r w:rsidRPr="00446E65">
        <w:rPr>
          <w:b/>
          <w:szCs w:val="22"/>
        </w:rPr>
        <w:instrText xml:space="preserve"> SEQ Figure \* ARABIC </w:instrText>
      </w:r>
      <w:r w:rsidRPr="00446E65">
        <w:rPr>
          <w:b/>
          <w:szCs w:val="22"/>
        </w:rPr>
        <w:fldChar w:fldCharType="separate"/>
      </w:r>
      <w:r w:rsidR="006F6AD0">
        <w:rPr>
          <w:b/>
          <w:noProof/>
          <w:szCs w:val="22"/>
        </w:rPr>
        <w:t>2</w:t>
      </w:r>
      <w:r w:rsidRPr="00446E65">
        <w:rPr>
          <w:b/>
          <w:szCs w:val="22"/>
        </w:rPr>
        <w:fldChar w:fldCharType="end"/>
      </w:r>
      <w:bookmarkEnd w:id="4"/>
      <w:r w:rsidRPr="00446E65">
        <w:rPr>
          <w:b/>
          <w:szCs w:val="22"/>
        </w:rPr>
        <w:t>:</w:t>
      </w:r>
      <w:r>
        <w:rPr>
          <w:szCs w:val="22"/>
        </w:rPr>
        <w:t xml:space="preserve"> </w:t>
      </w:r>
      <w:r w:rsidRPr="00446E65">
        <w:rPr>
          <w:szCs w:val="22"/>
        </w:rPr>
        <w:t>Supporting non-contiguous spectrum</w:t>
      </w:r>
    </w:p>
    <w:p w14:paraId="740AA03E" w14:textId="77777777" w:rsidR="00EF13A2" w:rsidRDefault="00EF13A2" w:rsidP="001E126D">
      <w:pPr>
        <w:jc w:val="both"/>
        <w:rPr>
          <w:szCs w:val="22"/>
        </w:rPr>
      </w:pPr>
    </w:p>
    <w:p w14:paraId="56B270A5" w14:textId="77777777" w:rsidR="001E126D" w:rsidRDefault="00EF13A2" w:rsidP="001E126D">
      <w:pPr>
        <w:jc w:val="both"/>
        <w:rPr>
          <w:szCs w:val="22"/>
        </w:rPr>
      </w:pPr>
      <w:r>
        <w:rPr>
          <w:szCs w:val="22"/>
        </w:rPr>
        <w:t xml:space="preserve">In fact, the aforementioned inefficiencies were the starting point of the bandwidth part discussions during the Rel. 15 study item—together with the UE power savings aspect, the two of which were merged by RAN1 into one concept. Hence, even though RAN1 agreed to not support non-contiguous intra-band spectrum using the bandwidth part concept as illustrated in </w:t>
      </w:r>
      <w:r>
        <w:rPr>
          <w:szCs w:val="22"/>
        </w:rPr>
        <w:fldChar w:fldCharType="begin"/>
      </w:r>
      <w:r>
        <w:rPr>
          <w:szCs w:val="22"/>
        </w:rPr>
        <w:instrText xml:space="preserve"> REF _Ref528934152 \h  \* MERGEFORMAT </w:instrText>
      </w:r>
      <w:r>
        <w:rPr>
          <w:szCs w:val="22"/>
        </w:rPr>
      </w:r>
      <w:r>
        <w:rPr>
          <w:szCs w:val="22"/>
        </w:rPr>
        <w:fldChar w:fldCharType="separate"/>
      </w:r>
      <w:r w:rsidR="006F6AD0" w:rsidRPr="006F6AD0">
        <w:rPr>
          <w:szCs w:val="22"/>
        </w:rPr>
        <w:t>Figure 2</w:t>
      </w:r>
      <w:r>
        <w:rPr>
          <w:szCs w:val="22"/>
        </w:rPr>
        <w:fldChar w:fldCharType="end"/>
      </w:r>
      <w:r>
        <w:rPr>
          <w:szCs w:val="22"/>
        </w:rPr>
        <w:t xml:space="preserve">, the benefits </w:t>
      </w:r>
      <w:r w:rsidR="006806B8">
        <w:rPr>
          <w:szCs w:val="22"/>
        </w:rPr>
        <w:t>o</w:t>
      </w:r>
      <w:r w:rsidR="00EB58AA">
        <w:rPr>
          <w:szCs w:val="22"/>
        </w:rPr>
        <w:t xml:space="preserve">f single wideband carriers identified during the NR study item still hold true. For example, in </w:t>
      </w:r>
      <w:r w:rsidR="00EB58AA">
        <w:rPr>
          <w:szCs w:val="22"/>
        </w:rPr>
        <w:fldChar w:fldCharType="begin"/>
      </w:r>
      <w:r w:rsidR="00EB58AA">
        <w:rPr>
          <w:szCs w:val="22"/>
        </w:rPr>
        <w:instrText xml:space="preserve"> REF _Ref528934855 \r \h  \* MERGEFORMAT </w:instrText>
      </w:r>
      <w:r w:rsidR="00EB58AA">
        <w:rPr>
          <w:szCs w:val="22"/>
        </w:rPr>
      </w:r>
      <w:r w:rsidR="00EB58AA">
        <w:rPr>
          <w:szCs w:val="22"/>
        </w:rPr>
        <w:fldChar w:fldCharType="separate"/>
      </w:r>
      <w:r w:rsidR="006F6AD0">
        <w:rPr>
          <w:szCs w:val="22"/>
        </w:rPr>
        <w:t>[4]</w:t>
      </w:r>
      <w:r w:rsidR="00EB58AA">
        <w:rPr>
          <w:szCs w:val="22"/>
        </w:rPr>
        <w:fldChar w:fldCharType="end"/>
      </w:r>
      <w:r w:rsidR="00EB58AA">
        <w:rPr>
          <w:szCs w:val="22"/>
        </w:rPr>
        <w:t>, the following is observed:</w:t>
      </w:r>
    </w:p>
    <w:tbl>
      <w:tblPr>
        <w:tblStyle w:val="TableGrid"/>
        <w:tblW w:w="0" w:type="auto"/>
        <w:tblLook w:val="04A0" w:firstRow="1" w:lastRow="0" w:firstColumn="1" w:lastColumn="0" w:noHBand="0" w:noVBand="1"/>
      </w:tblPr>
      <w:tblGrid>
        <w:gridCol w:w="9962"/>
      </w:tblGrid>
      <w:tr w:rsidR="001E126D" w14:paraId="67695D2E" w14:textId="77777777" w:rsidTr="004F51A2">
        <w:tc>
          <w:tcPr>
            <w:tcW w:w="9962" w:type="dxa"/>
          </w:tcPr>
          <w:p w14:paraId="1698492E" w14:textId="77777777" w:rsidR="001E126D" w:rsidRDefault="001E126D" w:rsidP="004F51A2">
            <w:pPr>
              <w:spacing w:before="0"/>
              <w:rPr>
                <w:szCs w:val="22"/>
              </w:rPr>
            </w:pPr>
            <w:r w:rsidRPr="00EF13A2">
              <w:rPr>
                <w:b/>
                <w:i/>
                <w:szCs w:val="22"/>
              </w:rPr>
              <w:t>Cons:</w:t>
            </w:r>
            <w:r w:rsidRPr="00DE2CC1">
              <w:rPr>
                <w:szCs w:val="22"/>
              </w:rPr>
              <w:t xml:space="preserve"> Guard band between each CC wastes spectrum resources. Each carrier is by nature an independent carrier with, e.g., duplicated synchronization channels and carrier-specific RS on each carrier, also a waste of spectrum resources. Unless there is joint scheduling through joint DCI among all the carriers, the control channel overhead is large. Also the management of CCs, e.g. configuration/release, activation/deactivation, etc., can be very complicated especially if the number of CCs is very large.</w:t>
            </w:r>
          </w:p>
          <w:p w14:paraId="6B3C1804" w14:textId="77777777" w:rsidR="00EB58AA" w:rsidRDefault="00EB58AA" w:rsidP="004F51A2">
            <w:pPr>
              <w:spacing w:before="0"/>
              <w:rPr>
                <w:szCs w:val="22"/>
              </w:rPr>
            </w:pPr>
            <w:r>
              <w:rPr>
                <w:szCs w:val="22"/>
              </w:rPr>
              <w:t>[…]</w:t>
            </w:r>
          </w:p>
          <w:p w14:paraId="7B723508" w14:textId="77777777" w:rsidR="00EB58AA" w:rsidRDefault="00EB58AA" w:rsidP="004F51A2">
            <w:pPr>
              <w:spacing w:before="0"/>
              <w:rPr>
                <w:szCs w:val="22"/>
              </w:rPr>
            </w:pPr>
            <w:r w:rsidRPr="00EF13A2">
              <w:rPr>
                <w:b/>
                <w:szCs w:val="22"/>
              </w:rPr>
              <w:lastRenderedPageBreak/>
              <w:t>Observation 2: Support for wide-band spectrum via massive CA is inefficient for 5G due to higher overhead and higher complexity of carrier management.</w:t>
            </w:r>
          </w:p>
        </w:tc>
      </w:tr>
    </w:tbl>
    <w:p w14:paraId="50288F7E" w14:textId="77777777" w:rsidR="001E126D" w:rsidRDefault="00EB58AA" w:rsidP="00047A44">
      <w:pPr>
        <w:jc w:val="both"/>
        <w:rPr>
          <w:szCs w:val="22"/>
        </w:rPr>
      </w:pPr>
      <w:r>
        <w:rPr>
          <w:szCs w:val="22"/>
        </w:rPr>
        <w:lastRenderedPageBreak/>
        <w:t xml:space="preserve">Hence, the resurrection of the concept for NR-based access in unlicensed spectrum comes as no surprise.  Moreover, the situation in NR-U is fundamentally different, namely, easier as compared to Rel. 15 </w:t>
      </w:r>
      <w:r w:rsidR="003E6752">
        <w:rPr>
          <w:szCs w:val="22"/>
        </w:rPr>
        <w:t>in that the subbands come in</w:t>
      </w:r>
      <w:r>
        <w:rPr>
          <w:szCs w:val="22"/>
        </w:rPr>
        <w:t xml:space="preserve"> multiples of a single b</w:t>
      </w:r>
      <w:r w:rsidR="00F16783">
        <w:rPr>
          <w:szCs w:val="22"/>
        </w:rPr>
        <w:t>andwidth</w:t>
      </w:r>
      <w:r>
        <w:rPr>
          <w:szCs w:val="22"/>
        </w:rPr>
        <w:t xml:space="preserve"> of 20 MHz. In licensed spectrum, because NR defines many different system bandwidths, this was not the case and hence, the effort in RAN4 would have been considerably higher. Here, however, RAN4 can rely on the fact that all non-contiguous subbands are an integer multiple of 20 MHz. </w:t>
      </w:r>
    </w:p>
    <w:p w14:paraId="3F15B030" w14:textId="42591452" w:rsidR="00EB58AA" w:rsidRDefault="00EB58AA" w:rsidP="00047A44">
      <w:pPr>
        <w:jc w:val="both"/>
        <w:rPr>
          <w:szCs w:val="22"/>
        </w:rPr>
      </w:pPr>
      <w:r>
        <w:rPr>
          <w:szCs w:val="22"/>
        </w:rPr>
        <w:t xml:space="preserve">When it comes to solutions to the problems identified by RAN1 in their LS, 3GPP is thus presented with the following tradeoff: In order to support non-contiguous subbands in a wider bandwidth, should the burden be on the protocol stack or the RF? A carrier based solution that uses the carrier aggregation framework to support non-contiguous subbands in a wider bandwidth duplicates the protocol stack for each LBT subband by rendering each LBT subband a serving cell. From an RF perspective, however, each 20 MHz subband can reuse the existing carrier based framework to define RF requirements for inband </w:t>
      </w:r>
      <w:r w:rsidR="00C85FB2">
        <w:rPr>
          <w:szCs w:val="22"/>
        </w:rPr>
        <w:t>block</w:t>
      </w:r>
      <w:r w:rsidR="00C85FB2">
        <w:rPr>
          <w:szCs w:val="22"/>
        </w:rPr>
        <w:t>ing</w:t>
      </w:r>
      <w:r w:rsidR="00C85FB2">
        <w:rPr>
          <w:szCs w:val="22"/>
        </w:rPr>
        <w:t xml:space="preserve"> </w:t>
      </w:r>
      <w:r>
        <w:rPr>
          <w:szCs w:val="22"/>
        </w:rPr>
        <w:t xml:space="preserve">and leakage. A bandwidth part solution, on the other hand, renders the entire non-contiguous wideband spectrum a single cell, however, RAN4 needs to define requirements for inband blocking and RF leakage. It is, however, pointed out that the subband sizes </w:t>
      </w:r>
      <w:r w:rsidR="004608B6">
        <w:rPr>
          <w:szCs w:val="22"/>
        </w:rPr>
        <w:t xml:space="preserve">in NR-U are very deterministic and multiples of a single subband bandwidth of 20 MHz. </w:t>
      </w:r>
    </w:p>
    <w:p w14:paraId="3E14EBFE" w14:textId="77777777" w:rsidR="004608B6" w:rsidRDefault="004608B6" w:rsidP="00047A44">
      <w:pPr>
        <w:jc w:val="both"/>
        <w:rPr>
          <w:szCs w:val="22"/>
        </w:rPr>
      </w:pPr>
      <w:r>
        <w:rPr>
          <w:szCs w:val="22"/>
        </w:rPr>
        <w:t xml:space="preserve">Lastly, at least some drawbacks of the carrier aggregation framework to support non-contiguous spectrum can be alleviated by allowing zero-guard </w:t>
      </w:r>
      <w:r w:rsidR="00352545">
        <w:rPr>
          <w:szCs w:val="22"/>
        </w:rPr>
        <w:t xml:space="preserve">band </w:t>
      </w:r>
      <w:r>
        <w:rPr>
          <w:szCs w:val="22"/>
        </w:rPr>
        <w:t xml:space="preserve">implementations of </w:t>
      </w:r>
      <w:r w:rsidR="00DF2794">
        <w:rPr>
          <w:szCs w:val="22"/>
        </w:rPr>
        <w:t xml:space="preserve">multiple </w:t>
      </w:r>
      <w:r>
        <w:rPr>
          <w:szCs w:val="22"/>
        </w:rPr>
        <w:t xml:space="preserve">20 MHz filters. For example, bandwidths of multiples of 20 MHz are realized by defining multiple zero-guard </w:t>
      </w:r>
      <w:r w:rsidR="00352545">
        <w:rPr>
          <w:szCs w:val="22"/>
        </w:rPr>
        <w:t xml:space="preserve">band </w:t>
      </w:r>
      <w:r>
        <w:rPr>
          <w:szCs w:val="22"/>
        </w:rPr>
        <w:t xml:space="preserve">carriers whereby EVM at the edge of each carrier increases due to the lack of guardbands. While this solution does not address any of the overheads and inefficiencies in the protocol stack, at least spectrum utilization can be increased for NR-U. </w:t>
      </w:r>
    </w:p>
    <w:p w14:paraId="43AE3ED9" w14:textId="6E6D5DCF" w:rsidR="004608B6" w:rsidRDefault="004608B6" w:rsidP="00047A44">
      <w:pPr>
        <w:jc w:val="both"/>
        <w:rPr>
          <w:szCs w:val="22"/>
        </w:rPr>
      </w:pPr>
      <w:r>
        <w:rPr>
          <w:szCs w:val="22"/>
        </w:rPr>
        <w:t xml:space="preserve">In light of the above, we ask RAN4 to take into account the overheads and inefficiencies </w:t>
      </w:r>
      <w:r w:rsidR="006540E9">
        <w:rPr>
          <w:szCs w:val="22"/>
        </w:rPr>
        <w:t xml:space="preserve">of carrier based solutions </w:t>
      </w:r>
      <w:r>
        <w:rPr>
          <w:szCs w:val="22"/>
        </w:rPr>
        <w:t>when discussing solutions to the RAN1 LS. If a bandwidth part based solution with RF requirements within a single wideband carrier is deemed infeasible or too complex, we ask RAN4 to at least consider zero-guard</w:t>
      </w:r>
      <w:r w:rsidR="00352545">
        <w:rPr>
          <w:szCs w:val="22"/>
        </w:rPr>
        <w:t xml:space="preserve"> band</w:t>
      </w:r>
      <w:r>
        <w:rPr>
          <w:szCs w:val="22"/>
        </w:rPr>
        <w:t xml:space="preserve"> implementations </w:t>
      </w:r>
      <w:r w:rsidR="0027305D">
        <w:rPr>
          <w:szCs w:val="22"/>
        </w:rPr>
        <w:t>of the carrier aggregation framework if deemed feasible. Lastly, when discussing solutions for non-contiguous spectrum in unlicensed bands, we ask RAN4 to consider the regular structure of LBT subbands</w:t>
      </w:r>
      <w:r w:rsidR="001B7302">
        <w:rPr>
          <w:szCs w:val="22"/>
        </w:rPr>
        <w:t xml:space="preserve"> (i.e. 20 MHz bandwidth and specific location)</w:t>
      </w:r>
      <w:r w:rsidR="0027305D">
        <w:rPr>
          <w:szCs w:val="22"/>
        </w:rPr>
        <w:t xml:space="preserve"> to optimize their solution. While RAN4 cannot discuss topics outside their scope such as the NR protocol stack, if RAN4 deems bandwidth part based solutions within a single carrier feasible for NR-U at least with moderate specification effort, we ask RAN4 to seriously consider specifying such solutions given the immense overhead and inefficiency of CA based solutions that render each LBT subband a serving cell.</w:t>
      </w:r>
    </w:p>
    <w:p w14:paraId="0EADE0EE" w14:textId="77777777" w:rsidR="0027305D" w:rsidRDefault="0027305D" w:rsidP="00047A44">
      <w:pPr>
        <w:jc w:val="both"/>
        <w:rPr>
          <w:b/>
          <w:szCs w:val="22"/>
        </w:rPr>
      </w:pPr>
      <w:r>
        <w:rPr>
          <w:b/>
          <w:szCs w:val="22"/>
        </w:rPr>
        <w:t>Proposals:</w:t>
      </w:r>
    </w:p>
    <w:p w14:paraId="3F9AB29F" w14:textId="77777777" w:rsidR="0027305D" w:rsidRDefault="0027305D" w:rsidP="006540E9">
      <w:pPr>
        <w:pStyle w:val="ListParagraph"/>
        <w:numPr>
          <w:ilvl w:val="0"/>
          <w:numId w:val="13"/>
        </w:numPr>
        <w:jc w:val="both"/>
        <w:rPr>
          <w:b/>
        </w:rPr>
      </w:pPr>
      <w:r w:rsidRPr="0027305D">
        <w:rPr>
          <w:b/>
        </w:rPr>
        <w:t xml:space="preserve">RAN4 to take into account the overheads and inefficiencies </w:t>
      </w:r>
      <w:r w:rsidR="006540E9" w:rsidRPr="006540E9">
        <w:rPr>
          <w:b/>
        </w:rPr>
        <w:t xml:space="preserve">of carrier based solutions </w:t>
      </w:r>
      <w:r w:rsidRPr="0027305D">
        <w:rPr>
          <w:b/>
        </w:rPr>
        <w:t>when discussing solutions to the RAN1 LS</w:t>
      </w:r>
    </w:p>
    <w:p w14:paraId="2CC36564" w14:textId="13B8C38B" w:rsidR="0027305D" w:rsidRDefault="0027305D" w:rsidP="0027305D">
      <w:pPr>
        <w:pStyle w:val="ListParagraph"/>
        <w:numPr>
          <w:ilvl w:val="0"/>
          <w:numId w:val="13"/>
        </w:numPr>
        <w:jc w:val="both"/>
        <w:rPr>
          <w:b/>
        </w:rPr>
      </w:pPr>
      <w:r w:rsidRPr="0027305D">
        <w:rPr>
          <w:b/>
        </w:rPr>
        <w:t xml:space="preserve">If a bandwidth part based solution with RF requirements within a single wideband carrier is deemed infeasible or too complex, RAN4 to consider zero-guard </w:t>
      </w:r>
      <w:r w:rsidR="00095D52">
        <w:rPr>
          <w:b/>
        </w:rPr>
        <w:t xml:space="preserve">band </w:t>
      </w:r>
      <w:r w:rsidRPr="0027305D">
        <w:rPr>
          <w:b/>
        </w:rPr>
        <w:t xml:space="preserve">implementations of the carrier aggregation framework </w:t>
      </w:r>
    </w:p>
    <w:p w14:paraId="5F1568D2" w14:textId="77777777" w:rsidR="0027305D" w:rsidRPr="0027305D" w:rsidRDefault="0027305D" w:rsidP="0027305D">
      <w:pPr>
        <w:pStyle w:val="ListParagraph"/>
        <w:numPr>
          <w:ilvl w:val="0"/>
          <w:numId w:val="13"/>
        </w:numPr>
        <w:jc w:val="both"/>
        <w:rPr>
          <w:b/>
        </w:rPr>
      </w:pPr>
      <w:r>
        <w:rPr>
          <w:b/>
        </w:rPr>
        <w:t>W</w:t>
      </w:r>
      <w:r w:rsidRPr="0027305D">
        <w:rPr>
          <w:b/>
        </w:rPr>
        <w:t>hen discussing solutions for non-contiguous spectrum in unlicensed bands, RAN4 to consider the regular structure of LBT subbands to optimize their solution</w:t>
      </w:r>
    </w:p>
    <w:p w14:paraId="536322AB" w14:textId="77777777" w:rsidR="008D04DC" w:rsidRDefault="007C3145" w:rsidP="008D04DC">
      <w:pPr>
        <w:pStyle w:val="Heading1"/>
      </w:pPr>
      <w:r>
        <w:t>Conclusion</w:t>
      </w:r>
    </w:p>
    <w:p w14:paraId="1D35E6EB" w14:textId="77777777" w:rsidR="00ED021E" w:rsidRDefault="0027305D" w:rsidP="00047A44">
      <w:pPr>
        <w:jc w:val="both"/>
        <w:rPr>
          <w:lang w:val="en-GB"/>
        </w:rPr>
      </w:pPr>
      <w:r>
        <w:rPr>
          <w:lang w:val="en-GB"/>
        </w:rPr>
        <w:t>In this contributions, we provided further details on the motivation of the various options in the RAN1 LS on NR-U wideband operation. We also presented our preferences on a possible solutions. The following is proposed:</w:t>
      </w:r>
    </w:p>
    <w:p w14:paraId="37E89552" w14:textId="77777777" w:rsidR="0027305D" w:rsidRDefault="0027305D" w:rsidP="006540E9">
      <w:pPr>
        <w:pStyle w:val="ListParagraph"/>
        <w:numPr>
          <w:ilvl w:val="0"/>
          <w:numId w:val="13"/>
        </w:numPr>
        <w:jc w:val="both"/>
        <w:rPr>
          <w:b/>
        </w:rPr>
      </w:pPr>
      <w:r w:rsidRPr="0027305D">
        <w:rPr>
          <w:b/>
        </w:rPr>
        <w:lastRenderedPageBreak/>
        <w:t xml:space="preserve">RAN4 to take into account the overheads and inefficiencies </w:t>
      </w:r>
      <w:r w:rsidR="006540E9" w:rsidRPr="006540E9">
        <w:rPr>
          <w:b/>
        </w:rPr>
        <w:t xml:space="preserve">of carrier based solutions </w:t>
      </w:r>
      <w:r w:rsidRPr="0027305D">
        <w:rPr>
          <w:b/>
        </w:rPr>
        <w:t>when discussing solutions to the RAN1 LS</w:t>
      </w:r>
    </w:p>
    <w:p w14:paraId="70B53D5B" w14:textId="74B4CE19" w:rsidR="0027305D" w:rsidRDefault="0027305D" w:rsidP="0027305D">
      <w:pPr>
        <w:pStyle w:val="ListParagraph"/>
        <w:numPr>
          <w:ilvl w:val="0"/>
          <w:numId w:val="13"/>
        </w:numPr>
        <w:jc w:val="both"/>
        <w:rPr>
          <w:b/>
        </w:rPr>
      </w:pPr>
      <w:r w:rsidRPr="0027305D">
        <w:rPr>
          <w:b/>
        </w:rPr>
        <w:t xml:space="preserve">If a bandwidth part based solution with RF requirements within a single wideband carrier is deemed infeasible or too complex, RAN4 to consider zero-guard </w:t>
      </w:r>
      <w:r w:rsidR="001B7302">
        <w:rPr>
          <w:b/>
        </w:rPr>
        <w:t xml:space="preserve">band </w:t>
      </w:r>
      <w:r w:rsidRPr="0027305D">
        <w:rPr>
          <w:b/>
        </w:rPr>
        <w:t xml:space="preserve">implementations of the carrier aggregation framework </w:t>
      </w:r>
    </w:p>
    <w:p w14:paraId="73FFD2B4" w14:textId="77777777" w:rsidR="0027305D" w:rsidRPr="0027305D" w:rsidRDefault="0027305D" w:rsidP="00047A44">
      <w:pPr>
        <w:pStyle w:val="ListParagraph"/>
        <w:numPr>
          <w:ilvl w:val="0"/>
          <w:numId w:val="13"/>
        </w:numPr>
        <w:jc w:val="both"/>
        <w:rPr>
          <w:b/>
        </w:rPr>
      </w:pPr>
      <w:r>
        <w:rPr>
          <w:b/>
        </w:rPr>
        <w:t>W</w:t>
      </w:r>
      <w:r w:rsidRPr="0027305D">
        <w:rPr>
          <w:b/>
        </w:rPr>
        <w:t>hen discussing solutions for non-contiguous spectrum in unlicensed bands, RAN4 to consider the regular structure of LBT subbands to optimize their solution</w:t>
      </w:r>
      <w:bookmarkStart w:id="5" w:name="_GoBack"/>
      <w:bookmarkEnd w:id="5"/>
    </w:p>
    <w:p w14:paraId="38432CF7" w14:textId="77777777" w:rsidR="00AF2C72" w:rsidRPr="006B13A0" w:rsidRDefault="00AF2C72" w:rsidP="006B13A0">
      <w:pPr>
        <w:pStyle w:val="Heading1"/>
      </w:pPr>
      <w:r>
        <w:t>Reference</w:t>
      </w:r>
    </w:p>
    <w:p w14:paraId="0420D707" w14:textId="77777777" w:rsidR="00047A44" w:rsidRDefault="009269EF" w:rsidP="00047A44">
      <w:pPr>
        <w:pStyle w:val="2222"/>
        <w:numPr>
          <w:ilvl w:val="0"/>
          <w:numId w:val="2"/>
        </w:numPr>
        <w:spacing w:after="120" w:line="288" w:lineRule="auto"/>
        <w:ind w:left="360" w:firstLineChars="0"/>
        <w:jc w:val="left"/>
        <w:rPr>
          <w:rFonts w:cs="Times New Roman"/>
          <w:lang w:eastAsia="ko-KR"/>
        </w:rPr>
      </w:pPr>
      <w:bookmarkStart w:id="6" w:name="_Ref528933407"/>
      <w:r w:rsidRPr="009269EF">
        <w:rPr>
          <w:rFonts w:cs="Times New Roman"/>
          <w:lang w:eastAsia="ko-KR"/>
        </w:rPr>
        <w:t>R1-1812026, LS on wideband carrier operation for NR-U, RAN1 (Ericsson)</w:t>
      </w:r>
      <w:bookmarkEnd w:id="6"/>
      <w:r w:rsidRPr="009269EF">
        <w:rPr>
          <w:rFonts w:cs="Times New Roman"/>
          <w:lang w:eastAsia="ko-KR"/>
        </w:rPr>
        <w:t xml:space="preserve"> </w:t>
      </w:r>
    </w:p>
    <w:p w14:paraId="7AE5CC1B" w14:textId="77777777" w:rsidR="002D1821" w:rsidRDefault="002D1821" w:rsidP="00047A44">
      <w:pPr>
        <w:pStyle w:val="2222"/>
        <w:numPr>
          <w:ilvl w:val="0"/>
          <w:numId w:val="2"/>
        </w:numPr>
        <w:spacing w:after="120" w:line="288" w:lineRule="auto"/>
        <w:ind w:left="360" w:firstLineChars="0"/>
        <w:jc w:val="left"/>
        <w:rPr>
          <w:rFonts w:cs="Times New Roman"/>
          <w:lang w:eastAsia="ko-KR"/>
        </w:rPr>
      </w:pPr>
      <w:bookmarkStart w:id="7" w:name="_Ref528934071"/>
      <w:r w:rsidRPr="002D1821">
        <w:rPr>
          <w:rFonts w:cs="Times New Roman"/>
          <w:lang w:eastAsia="ko-KR"/>
        </w:rPr>
        <w:t>R1-1710416, Design considerations for NR operation with wide bandwidths, AT&amp;T</w:t>
      </w:r>
      <w:bookmarkEnd w:id="7"/>
      <w:r w:rsidRPr="002D1821">
        <w:rPr>
          <w:rFonts w:cs="Times New Roman"/>
          <w:lang w:eastAsia="ko-KR"/>
        </w:rPr>
        <w:t xml:space="preserve"> </w:t>
      </w:r>
    </w:p>
    <w:p w14:paraId="5CD41A39" w14:textId="77777777" w:rsidR="000F0170" w:rsidRDefault="000F0170" w:rsidP="000F0170">
      <w:pPr>
        <w:pStyle w:val="2222"/>
        <w:numPr>
          <w:ilvl w:val="0"/>
          <w:numId w:val="2"/>
        </w:numPr>
        <w:spacing w:after="120" w:line="288" w:lineRule="auto"/>
        <w:ind w:left="360" w:firstLineChars="0"/>
        <w:jc w:val="left"/>
        <w:rPr>
          <w:rFonts w:cs="Times New Roman"/>
          <w:lang w:eastAsia="ko-KR"/>
        </w:rPr>
      </w:pPr>
      <w:bookmarkStart w:id="8" w:name="_Ref528934073"/>
      <w:r w:rsidRPr="000F0170">
        <w:rPr>
          <w:rFonts w:cs="Times New Roman"/>
          <w:lang w:eastAsia="ko-KR"/>
        </w:rPr>
        <w:t>R1-1711795, On bandwidth parts and “RF” requirements, Ericsson</w:t>
      </w:r>
      <w:bookmarkEnd w:id="8"/>
    </w:p>
    <w:p w14:paraId="4FFEE4A2" w14:textId="77777777" w:rsidR="002D1821" w:rsidRDefault="002D1821" w:rsidP="002D1821">
      <w:pPr>
        <w:pStyle w:val="2222"/>
        <w:numPr>
          <w:ilvl w:val="0"/>
          <w:numId w:val="2"/>
        </w:numPr>
        <w:spacing w:after="120" w:line="288" w:lineRule="auto"/>
        <w:ind w:left="360" w:firstLineChars="0"/>
        <w:jc w:val="left"/>
        <w:rPr>
          <w:rFonts w:cs="Times New Roman"/>
          <w:lang w:eastAsia="ko-KR"/>
        </w:rPr>
      </w:pPr>
      <w:bookmarkStart w:id="9" w:name="_Ref528934855"/>
      <w:r w:rsidRPr="00A201FE">
        <w:rPr>
          <w:rFonts w:cs="Times New Roman"/>
          <w:lang w:eastAsia="ko-KR"/>
        </w:rPr>
        <w:t>R1-162158, Support for wide bandwidth for 5G, Huawei, HiSilicon</w:t>
      </w:r>
      <w:bookmarkEnd w:id="9"/>
    </w:p>
    <w:p w14:paraId="0095F239" w14:textId="77777777" w:rsidR="002D1821" w:rsidRDefault="002D1821" w:rsidP="002D1821">
      <w:pPr>
        <w:pStyle w:val="2222"/>
        <w:spacing w:after="120" w:line="288" w:lineRule="auto"/>
        <w:ind w:firstLineChars="0" w:firstLine="0"/>
        <w:jc w:val="left"/>
        <w:rPr>
          <w:rFonts w:cs="Times New Roman"/>
          <w:lang w:eastAsia="ko-KR"/>
        </w:rPr>
      </w:pPr>
    </w:p>
    <w:p w14:paraId="137A203E" w14:textId="77777777" w:rsidR="00047A44" w:rsidRDefault="00047A44" w:rsidP="00047A44">
      <w:pPr>
        <w:pStyle w:val="2222"/>
        <w:spacing w:after="120" w:line="288" w:lineRule="auto"/>
        <w:ind w:firstLineChars="0" w:firstLine="0"/>
        <w:jc w:val="left"/>
        <w:rPr>
          <w:rFonts w:cs="Times New Roman"/>
          <w:lang w:eastAsia="ko-KR"/>
        </w:rPr>
      </w:pPr>
    </w:p>
    <w:p w14:paraId="4F33B275" w14:textId="77777777" w:rsidR="00047A44" w:rsidRPr="00047A44" w:rsidRDefault="00047A44" w:rsidP="00047A44">
      <w:pPr>
        <w:pStyle w:val="2222"/>
        <w:spacing w:after="120" w:line="288" w:lineRule="auto"/>
        <w:ind w:firstLineChars="0" w:firstLine="0"/>
        <w:jc w:val="left"/>
        <w:rPr>
          <w:rFonts w:cs="Times New Roman"/>
          <w:lang w:eastAsia="ko-KR"/>
        </w:rPr>
      </w:pPr>
    </w:p>
    <w:sectPr w:rsidR="00047A44" w:rsidRPr="00047A44"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4D3ED" w14:textId="77777777" w:rsidR="00F573A9" w:rsidRDefault="00F573A9" w:rsidP="00A03DF3">
      <w:pPr>
        <w:spacing w:after="0"/>
      </w:pPr>
      <w:r>
        <w:separator/>
      </w:r>
    </w:p>
  </w:endnote>
  <w:endnote w:type="continuationSeparator" w:id="0">
    <w:p w14:paraId="423A0C3C" w14:textId="77777777" w:rsidR="00F573A9" w:rsidRDefault="00F573A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233DE"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C8FE8"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BA482" w14:textId="77777777"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B730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30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AFC8F" w14:textId="77777777" w:rsidR="00F573A9" w:rsidRDefault="00F573A9" w:rsidP="00A03DF3">
      <w:pPr>
        <w:spacing w:after="0"/>
      </w:pPr>
      <w:r>
        <w:separator/>
      </w:r>
    </w:p>
  </w:footnote>
  <w:footnote w:type="continuationSeparator" w:id="0">
    <w:p w14:paraId="0901FD65" w14:textId="77777777" w:rsidR="00F573A9" w:rsidRDefault="00F573A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997A1"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971E36"/>
    <w:multiLevelType w:val="hybridMultilevel"/>
    <w:tmpl w:val="883A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5"/>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33CB"/>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47A44"/>
    <w:rsid w:val="00051B99"/>
    <w:rsid w:val="00056BC8"/>
    <w:rsid w:val="00066211"/>
    <w:rsid w:val="00066D52"/>
    <w:rsid w:val="000705CC"/>
    <w:rsid w:val="0007152D"/>
    <w:rsid w:val="0007233C"/>
    <w:rsid w:val="000832B2"/>
    <w:rsid w:val="00090F30"/>
    <w:rsid w:val="00091745"/>
    <w:rsid w:val="00092FC7"/>
    <w:rsid w:val="000935E4"/>
    <w:rsid w:val="000954F9"/>
    <w:rsid w:val="000959FE"/>
    <w:rsid w:val="00095D52"/>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170"/>
    <w:rsid w:val="000F0E8F"/>
    <w:rsid w:val="000F70D6"/>
    <w:rsid w:val="001001EF"/>
    <w:rsid w:val="00101362"/>
    <w:rsid w:val="001026C3"/>
    <w:rsid w:val="00104F96"/>
    <w:rsid w:val="00105963"/>
    <w:rsid w:val="00107EBD"/>
    <w:rsid w:val="00112850"/>
    <w:rsid w:val="00112BF4"/>
    <w:rsid w:val="001153C1"/>
    <w:rsid w:val="0011607E"/>
    <w:rsid w:val="00116777"/>
    <w:rsid w:val="00116964"/>
    <w:rsid w:val="001201A2"/>
    <w:rsid w:val="001215A0"/>
    <w:rsid w:val="00122D4F"/>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1A58"/>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B7302"/>
    <w:rsid w:val="001C3C25"/>
    <w:rsid w:val="001C535D"/>
    <w:rsid w:val="001C5C93"/>
    <w:rsid w:val="001D0433"/>
    <w:rsid w:val="001D3D46"/>
    <w:rsid w:val="001D4912"/>
    <w:rsid w:val="001D502E"/>
    <w:rsid w:val="001D7377"/>
    <w:rsid w:val="001E0FE1"/>
    <w:rsid w:val="001E126D"/>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05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1DE0"/>
    <w:rsid w:val="002C49F0"/>
    <w:rsid w:val="002D0E77"/>
    <w:rsid w:val="002D1821"/>
    <w:rsid w:val="002D1D49"/>
    <w:rsid w:val="002D566F"/>
    <w:rsid w:val="002D6FB7"/>
    <w:rsid w:val="002E026C"/>
    <w:rsid w:val="002E3614"/>
    <w:rsid w:val="002E37DE"/>
    <w:rsid w:val="002F0C46"/>
    <w:rsid w:val="002F1ACA"/>
    <w:rsid w:val="002F1B33"/>
    <w:rsid w:val="002F3A3E"/>
    <w:rsid w:val="002F3FC4"/>
    <w:rsid w:val="002F43C7"/>
    <w:rsid w:val="00301F11"/>
    <w:rsid w:val="00303721"/>
    <w:rsid w:val="00304012"/>
    <w:rsid w:val="00304943"/>
    <w:rsid w:val="00305BD0"/>
    <w:rsid w:val="0031220B"/>
    <w:rsid w:val="00312297"/>
    <w:rsid w:val="00316619"/>
    <w:rsid w:val="00317DDA"/>
    <w:rsid w:val="00320BD0"/>
    <w:rsid w:val="00323D1C"/>
    <w:rsid w:val="003246F3"/>
    <w:rsid w:val="003266DD"/>
    <w:rsid w:val="00327898"/>
    <w:rsid w:val="003302D1"/>
    <w:rsid w:val="0033045D"/>
    <w:rsid w:val="00331DD7"/>
    <w:rsid w:val="00332CC0"/>
    <w:rsid w:val="003336FC"/>
    <w:rsid w:val="003346E4"/>
    <w:rsid w:val="00337899"/>
    <w:rsid w:val="00337FAE"/>
    <w:rsid w:val="00340D03"/>
    <w:rsid w:val="0034274F"/>
    <w:rsid w:val="00343D0D"/>
    <w:rsid w:val="00347568"/>
    <w:rsid w:val="00352545"/>
    <w:rsid w:val="003547D5"/>
    <w:rsid w:val="003572C1"/>
    <w:rsid w:val="00363E20"/>
    <w:rsid w:val="00364C2A"/>
    <w:rsid w:val="0036606A"/>
    <w:rsid w:val="00373D8C"/>
    <w:rsid w:val="0037404F"/>
    <w:rsid w:val="003740FA"/>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752"/>
    <w:rsid w:val="003E6804"/>
    <w:rsid w:val="003E7DEE"/>
    <w:rsid w:val="003F18D4"/>
    <w:rsid w:val="003F1A54"/>
    <w:rsid w:val="003F616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189"/>
    <w:rsid w:val="00446B9E"/>
    <w:rsid w:val="00446E65"/>
    <w:rsid w:val="00451BA0"/>
    <w:rsid w:val="004608B6"/>
    <w:rsid w:val="00460FF1"/>
    <w:rsid w:val="00462337"/>
    <w:rsid w:val="00464EBF"/>
    <w:rsid w:val="00465407"/>
    <w:rsid w:val="0046609F"/>
    <w:rsid w:val="004678E8"/>
    <w:rsid w:val="00470821"/>
    <w:rsid w:val="00477858"/>
    <w:rsid w:val="00477A4A"/>
    <w:rsid w:val="00484322"/>
    <w:rsid w:val="00484487"/>
    <w:rsid w:val="00485C14"/>
    <w:rsid w:val="00487D79"/>
    <w:rsid w:val="00491CAF"/>
    <w:rsid w:val="00492AF8"/>
    <w:rsid w:val="004934E6"/>
    <w:rsid w:val="0049755C"/>
    <w:rsid w:val="004A5460"/>
    <w:rsid w:val="004A6EA1"/>
    <w:rsid w:val="004A7A57"/>
    <w:rsid w:val="004A7DA0"/>
    <w:rsid w:val="004A7F1C"/>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3C67"/>
    <w:rsid w:val="00515991"/>
    <w:rsid w:val="00520D3A"/>
    <w:rsid w:val="00523E5C"/>
    <w:rsid w:val="00526E57"/>
    <w:rsid w:val="0052789C"/>
    <w:rsid w:val="00530A7F"/>
    <w:rsid w:val="00534474"/>
    <w:rsid w:val="00542900"/>
    <w:rsid w:val="00546C64"/>
    <w:rsid w:val="005478CF"/>
    <w:rsid w:val="00550E5F"/>
    <w:rsid w:val="0055311C"/>
    <w:rsid w:val="0055425E"/>
    <w:rsid w:val="00554916"/>
    <w:rsid w:val="00555C71"/>
    <w:rsid w:val="00556937"/>
    <w:rsid w:val="00557E3C"/>
    <w:rsid w:val="00560B0A"/>
    <w:rsid w:val="00566D2E"/>
    <w:rsid w:val="005672AD"/>
    <w:rsid w:val="0056776F"/>
    <w:rsid w:val="00572547"/>
    <w:rsid w:val="005745E3"/>
    <w:rsid w:val="00574896"/>
    <w:rsid w:val="00576219"/>
    <w:rsid w:val="00577765"/>
    <w:rsid w:val="00580735"/>
    <w:rsid w:val="00585441"/>
    <w:rsid w:val="005858E4"/>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E7185"/>
    <w:rsid w:val="005F2BEE"/>
    <w:rsid w:val="005F352C"/>
    <w:rsid w:val="005F49BE"/>
    <w:rsid w:val="005F78B3"/>
    <w:rsid w:val="00607DA8"/>
    <w:rsid w:val="006126DD"/>
    <w:rsid w:val="00614A69"/>
    <w:rsid w:val="0061677A"/>
    <w:rsid w:val="00616831"/>
    <w:rsid w:val="00617413"/>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40E9"/>
    <w:rsid w:val="00655A41"/>
    <w:rsid w:val="00655B30"/>
    <w:rsid w:val="0065608D"/>
    <w:rsid w:val="0066172B"/>
    <w:rsid w:val="006625D4"/>
    <w:rsid w:val="00662774"/>
    <w:rsid w:val="0067232E"/>
    <w:rsid w:val="006740BC"/>
    <w:rsid w:val="006769B3"/>
    <w:rsid w:val="00676C08"/>
    <w:rsid w:val="006774EA"/>
    <w:rsid w:val="006806B8"/>
    <w:rsid w:val="00682E8A"/>
    <w:rsid w:val="00683F52"/>
    <w:rsid w:val="00684402"/>
    <w:rsid w:val="00690ECB"/>
    <w:rsid w:val="00692A94"/>
    <w:rsid w:val="006931F2"/>
    <w:rsid w:val="00695014"/>
    <w:rsid w:val="00697235"/>
    <w:rsid w:val="00697CB2"/>
    <w:rsid w:val="006A2101"/>
    <w:rsid w:val="006B13A0"/>
    <w:rsid w:val="006C3375"/>
    <w:rsid w:val="006C6ACF"/>
    <w:rsid w:val="006D06BF"/>
    <w:rsid w:val="006D4F51"/>
    <w:rsid w:val="006D71C6"/>
    <w:rsid w:val="006E3876"/>
    <w:rsid w:val="006E5D2D"/>
    <w:rsid w:val="006F1AB8"/>
    <w:rsid w:val="006F1DB7"/>
    <w:rsid w:val="006F67B2"/>
    <w:rsid w:val="006F6AD0"/>
    <w:rsid w:val="00700F24"/>
    <w:rsid w:val="00701722"/>
    <w:rsid w:val="00701AC6"/>
    <w:rsid w:val="00701D4D"/>
    <w:rsid w:val="00702AD5"/>
    <w:rsid w:val="007038C7"/>
    <w:rsid w:val="00703A04"/>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1A39"/>
    <w:rsid w:val="00762E4A"/>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0ADB"/>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1124"/>
    <w:rsid w:val="00832D6D"/>
    <w:rsid w:val="00835340"/>
    <w:rsid w:val="00840100"/>
    <w:rsid w:val="00841D9F"/>
    <w:rsid w:val="00841FBB"/>
    <w:rsid w:val="00842CAE"/>
    <w:rsid w:val="00846200"/>
    <w:rsid w:val="00847215"/>
    <w:rsid w:val="0085091F"/>
    <w:rsid w:val="00853B77"/>
    <w:rsid w:val="00857489"/>
    <w:rsid w:val="0086141D"/>
    <w:rsid w:val="008630C0"/>
    <w:rsid w:val="008640DB"/>
    <w:rsid w:val="008645B9"/>
    <w:rsid w:val="00872C91"/>
    <w:rsid w:val="00875E94"/>
    <w:rsid w:val="0088025E"/>
    <w:rsid w:val="0088342F"/>
    <w:rsid w:val="00884757"/>
    <w:rsid w:val="008866D5"/>
    <w:rsid w:val="00886C69"/>
    <w:rsid w:val="00893CA8"/>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9EF"/>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4EA6"/>
    <w:rsid w:val="0099602E"/>
    <w:rsid w:val="009A0E1B"/>
    <w:rsid w:val="009A2943"/>
    <w:rsid w:val="009A3908"/>
    <w:rsid w:val="009A5C07"/>
    <w:rsid w:val="009B24D5"/>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01FE"/>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4047"/>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02C25"/>
    <w:rsid w:val="00B10448"/>
    <w:rsid w:val="00B14891"/>
    <w:rsid w:val="00B1573B"/>
    <w:rsid w:val="00B15EE5"/>
    <w:rsid w:val="00B161CA"/>
    <w:rsid w:val="00B16D19"/>
    <w:rsid w:val="00B208AD"/>
    <w:rsid w:val="00B21435"/>
    <w:rsid w:val="00B22974"/>
    <w:rsid w:val="00B22E47"/>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C47"/>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5FB2"/>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0B6F"/>
    <w:rsid w:val="00CF1C52"/>
    <w:rsid w:val="00CF2D90"/>
    <w:rsid w:val="00CF3E9E"/>
    <w:rsid w:val="00CF51E5"/>
    <w:rsid w:val="00D00718"/>
    <w:rsid w:val="00D01615"/>
    <w:rsid w:val="00D07A78"/>
    <w:rsid w:val="00D1087A"/>
    <w:rsid w:val="00D118BF"/>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47B54"/>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97B55"/>
    <w:rsid w:val="00DA1B9A"/>
    <w:rsid w:val="00DA53F3"/>
    <w:rsid w:val="00DA60BB"/>
    <w:rsid w:val="00DA7B6D"/>
    <w:rsid w:val="00DB32D0"/>
    <w:rsid w:val="00DB6BB5"/>
    <w:rsid w:val="00DB7753"/>
    <w:rsid w:val="00DC69F1"/>
    <w:rsid w:val="00DD051F"/>
    <w:rsid w:val="00DD1B3E"/>
    <w:rsid w:val="00DD27CD"/>
    <w:rsid w:val="00DE093B"/>
    <w:rsid w:val="00DE0A17"/>
    <w:rsid w:val="00DE2CC1"/>
    <w:rsid w:val="00DE4BE7"/>
    <w:rsid w:val="00DE5572"/>
    <w:rsid w:val="00DE796D"/>
    <w:rsid w:val="00DF2794"/>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3395"/>
    <w:rsid w:val="00E543B1"/>
    <w:rsid w:val="00E57FF6"/>
    <w:rsid w:val="00E6533C"/>
    <w:rsid w:val="00E6667E"/>
    <w:rsid w:val="00E725D9"/>
    <w:rsid w:val="00E72CE0"/>
    <w:rsid w:val="00E77A0D"/>
    <w:rsid w:val="00E77AC4"/>
    <w:rsid w:val="00E77F83"/>
    <w:rsid w:val="00E80422"/>
    <w:rsid w:val="00E8069D"/>
    <w:rsid w:val="00E82924"/>
    <w:rsid w:val="00E82C0A"/>
    <w:rsid w:val="00E83A3A"/>
    <w:rsid w:val="00E857F7"/>
    <w:rsid w:val="00E85983"/>
    <w:rsid w:val="00E9695C"/>
    <w:rsid w:val="00E974FA"/>
    <w:rsid w:val="00E9755B"/>
    <w:rsid w:val="00EA03E7"/>
    <w:rsid w:val="00EA4F7C"/>
    <w:rsid w:val="00EB09BA"/>
    <w:rsid w:val="00EB3023"/>
    <w:rsid w:val="00EB3933"/>
    <w:rsid w:val="00EB3C1A"/>
    <w:rsid w:val="00EB3E74"/>
    <w:rsid w:val="00EB58AA"/>
    <w:rsid w:val="00EB6F52"/>
    <w:rsid w:val="00EC0809"/>
    <w:rsid w:val="00EC0DB5"/>
    <w:rsid w:val="00EC3BD4"/>
    <w:rsid w:val="00EC4C97"/>
    <w:rsid w:val="00EC4E5C"/>
    <w:rsid w:val="00ED021E"/>
    <w:rsid w:val="00ED0713"/>
    <w:rsid w:val="00ED0E87"/>
    <w:rsid w:val="00ED7BDC"/>
    <w:rsid w:val="00ED7F87"/>
    <w:rsid w:val="00EE1463"/>
    <w:rsid w:val="00EE3605"/>
    <w:rsid w:val="00EE69AF"/>
    <w:rsid w:val="00EE6EFD"/>
    <w:rsid w:val="00EE70BB"/>
    <w:rsid w:val="00EF13A2"/>
    <w:rsid w:val="00EF1A68"/>
    <w:rsid w:val="00EF3B5D"/>
    <w:rsid w:val="00EF403E"/>
    <w:rsid w:val="00EF4AB2"/>
    <w:rsid w:val="00EF6701"/>
    <w:rsid w:val="00F0075E"/>
    <w:rsid w:val="00F022F8"/>
    <w:rsid w:val="00F032FE"/>
    <w:rsid w:val="00F03394"/>
    <w:rsid w:val="00F120E1"/>
    <w:rsid w:val="00F13188"/>
    <w:rsid w:val="00F13661"/>
    <w:rsid w:val="00F14D2B"/>
    <w:rsid w:val="00F15B55"/>
    <w:rsid w:val="00F16067"/>
    <w:rsid w:val="00F16783"/>
    <w:rsid w:val="00F17442"/>
    <w:rsid w:val="00F176BB"/>
    <w:rsid w:val="00F23797"/>
    <w:rsid w:val="00F249A4"/>
    <w:rsid w:val="00F307ED"/>
    <w:rsid w:val="00F31548"/>
    <w:rsid w:val="00F3304D"/>
    <w:rsid w:val="00F33E4A"/>
    <w:rsid w:val="00F350DB"/>
    <w:rsid w:val="00F35B9A"/>
    <w:rsid w:val="00F35C83"/>
    <w:rsid w:val="00F420E7"/>
    <w:rsid w:val="00F42D8E"/>
    <w:rsid w:val="00F455FC"/>
    <w:rsid w:val="00F46DA6"/>
    <w:rsid w:val="00F51112"/>
    <w:rsid w:val="00F53F7C"/>
    <w:rsid w:val="00F558E7"/>
    <w:rsid w:val="00F573A9"/>
    <w:rsid w:val="00F62D70"/>
    <w:rsid w:val="00F66B33"/>
    <w:rsid w:val="00F670FA"/>
    <w:rsid w:val="00F672AD"/>
    <w:rsid w:val="00F67A74"/>
    <w:rsid w:val="00F71D1D"/>
    <w:rsid w:val="00F73813"/>
    <w:rsid w:val="00F74300"/>
    <w:rsid w:val="00F8398C"/>
    <w:rsid w:val="00F83B26"/>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E664A"/>
    <w:rsid w:val="00FF1A08"/>
    <w:rsid w:val="00FF4F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2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02071246">
      <w:bodyDiv w:val="1"/>
      <w:marLeft w:val="0"/>
      <w:marRight w:val="0"/>
      <w:marTop w:val="0"/>
      <w:marBottom w:val="0"/>
      <w:divBdr>
        <w:top w:val="none" w:sz="0" w:space="0" w:color="auto"/>
        <w:left w:val="none" w:sz="0" w:space="0" w:color="auto"/>
        <w:bottom w:val="none" w:sz="0" w:space="0" w:color="auto"/>
        <w:right w:val="none" w:sz="0" w:space="0" w:color="auto"/>
      </w:divBdr>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3B28C-3A56-455B-A32A-31FAA20A3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2018-11-02T22:15:00Z</dcterms:created>
  <dcterms:modified xsi:type="dcterms:W3CDTF">2018-11-02T22:15:00Z</dcterms:modified>
</cp:coreProperties>
</file>